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8" w:rsidRPr="007B4459" w:rsidRDefault="00BF4A68" w:rsidP="007B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459">
        <w:rPr>
          <w:rFonts w:ascii="Times New Roman" w:hAnsi="Times New Roman"/>
          <w:sz w:val="28"/>
          <w:szCs w:val="28"/>
        </w:rPr>
        <w:t>АДМИНИСТРАЦИЯ</w:t>
      </w:r>
    </w:p>
    <w:p w:rsidR="00BF4A68" w:rsidRPr="007B4459" w:rsidRDefault="00BF4A68" w:rsidP="007B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459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BF4A68" w:rsidRPr="007B4459" w:rsidRDefault="00BF4A68" w:rsidP="007B4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459">
        <w:rPr>
          <w:rFonts w:ascii="Times New Roman" w:hAnsi="Times New Roman"/>
          <w:sz w:val="28"/>
          <w:szCs w:val="28"/>
        </w:rPr>
        <w:t>ПОСТАНОВЛЕНИЕ</w:t>
      </w:r>
    </w:p>
    <w:p w:rsidR="00BF4A68" w:rsidRPr="007B4459" w:rsidRDefault="00BF4A68" w:rsidP="007B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A68" w:rsidRPr="007B4459" w:rsidRDefault="00BF4A68" w:rsidP="007B44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459">
        <w:rPr>
          <w:rFonts w:ascii="Times New Roman" w:hAnsi="Times New Roman"/>
          <w:sz w:val="28"/>
          <w:szCs w:val="28"/>
        </w:rPr>
        <w:t>17.03.2020 № 269</w:t>
      </w:r>
    </w:p>
    <w:p w:rsidR="00BF4A68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Pr="00AF762E" w:rsidRDefault="00BF4A68" w:rsidP="009A21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  <w:r w:rsidRPr="00AF762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Об утверждении примерного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AF762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еречня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762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первичных средств тушения пожаров</w:t>
      </w:r>
    </w:p>
    <w:p w:rsidR="00BF4A68" w:rsidRDefault="00BF4A68" w:rsidP="00AF762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F762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и противопожарного инвентаря в помещениях и строениях,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762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находящихся в собственности (пользовании) граждан и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AF762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орядка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762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содержания территорий,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зданий, сооружений и помещений</w:t>
      </w:r>
    </w:p>
    <w:p w:rsidR="00BF4A68" w:rsidRPr="00AF762E" w:rsidRDefault="00BF4A68" w:rsidP="00AF762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Pr="00545B78" w:rsidRDefault="00BF4A68" w:rsidP="0054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</w:p>
    <w:p w:rsidR="00BF4A68" w:rsidRDefault="00BF4A68" w:rsidP="00C336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Федеральным законом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от 21 декабря 1994 года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№ 69-ФЗ 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«О пожарной безопасности»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, с  Постановлением Правительства Российской Федерации от 25.04.2012 г. № 390 «О противопожарном режиме»,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принятия мер по защите помещений и строений, находящихся в собственности (пользования) граждан от пожаров на территории городского поселения «Город Советская Гавань» Советско-Гаванского муниципального района Хабаровского края</w:t>
      </w:r>
    </w:p>
    <w:p w:rsidR="00BF4A68" w:rsidRPr="00932577" w:rsidRDefault="00BF4A68" w:rsidP="0054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  <w:r w:rsidRPr="00932577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</w:t>
      </w:r>
      <w:r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Ю</w:t>
      </w:r>
      <w:r w:rsidRPr="00932577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BF4A6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Утвердить примерный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еречень первичных средств тушения пожаров и противопожарного инвентаря в помещениях и строениях, находящихся в собственности (поль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зовании) граждан на территории городского поселения «Город Советская Гавань» согласно Приложению №1.</w:t>
      </w:r>
    </w:p>
    <w:p w:rsidR="00BF4A68" w:rsidRPr="00545B7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2. Утвердить прилагаемый  порядок содержания территорий, зданий, сооружений и помещений  городского поселения «Город Советская Гавань» согласно Приложение №2.</w:t>
      </w:r>
    </w:p>
    <w:p w:rsidR="00BF4A6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Довести до сведения жителей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необходимость обеспечения в помещениях и строениях, находящихся в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их собственности (пользовании) о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первичных средств тушения пожаров и противопожарного инвентаря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BF4A6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4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Контроль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 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исполнением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настоящего 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П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остановления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оставляю за собой.</w:t>
      </w:r>
    </w:p>
    <w:p w:rsidR="00BF4A6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5. Настоящее п</w:t>
      </w:r>
      <w:r w:rsidRPr="00932577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остановление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</w:t>
      </w:r>
      <w:bookmarkStart w:id="0" w:name="_GoBack"/>
      <w:bookmarkEnd w:id="0"/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BF4A6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Default="00BF4A68" w:rsidP="00545B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Pr="00545B78" w:rsidRDefault="00BF4A68" w:rsidP="00B862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</w:p>
    <w:p w:rsidR="00BF4A68" w:rsidRPr="006E5DF8" w:rsidRDefault="00BF4A68" w:rsidP="00545B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И.о. Главы Администрации 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    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545B78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       </w:t>
      </w: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                       Д.Э. Чайка</w:t>
      </w:r>
    </w:p>
    <w:p w:rsidR="00BF4A68" w:rsidRDefault="00BF4A68" w:rsidP="00545B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F4A68" w:rsidRDefault="00BF4A68" w:rsidP="00545B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F4A68" w:rsidRDefault="00BF4A68" w:rsidP="00545B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F4A68" w:rsidRPr="00835E30" w:rsidRDefault="00BF4A68" w:rsidP="00835E3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35E3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Приложение №1 </w:t>
      </w:r>
    </w:p>
    <w:p w:rsidR="00BF4A68" w:rsidRDefault="00BF4A68" w:rsidP="00835E3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Утверждено </w:t>
      </w:r>
    </w:p>
    <w:p w:rsidR="00BF4A68" w:rsidRDefault="00BF4A68" w:rsidP="00835E3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Постановлением</w:t>
      </w:r>
      <w:r w:rsidRPr="00835E3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Администрации</w:t>
      </w:r>
    </w:p>
    <w:p w:rsidR="00BF4A68" w:rsidRDefault="00BF4A68" w:rsidP="00835E3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городского поселения «Город </w:t>
      </w:r>
    </w:p>
    <w:p w:rsidR="00BF4A68" w:rsidRPr="00835E30" w:rsidRDefault="00BF4A68" w:rsidP="00835E3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Советская Гавань»</w:t>
      </w:r>
    </w:p>
    <w:p w:rsidR="00BF4A68" w:rsidRPr="00835E30" w:rsidRDefault="00BF4A68" w:rsidP="0052205D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№ 269 от  17.03.2020                                                                                                             </w:t>
      </w:r>
    </w:p>
    <w:p w:rsidR="00BF4A68" w:rsidRPr="00835E30" w:rsidRDefault="00BF4A68" w:rsidP="00835E3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</w:t>
      </w:r>
    </w:p>
    <w:p w:rsidR="00BF4A68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F4A68" w:rsidRPr="00423317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  <w:r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BF4A68" w:rsidRPr="00423317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  <w:r w:rsidRPr="00423317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первичных средств тушения пожаров и противопожарного</w:t>
      </w:r>
    </w:p>
    <w:p w:rsidR="00BF4A68" w:rsidRPr="00423317" w:rsidRDefault="00BF4A68" w:rsidP="00545B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23317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инвентаря в помещениях и строениях, находящихся в собственности (пользовании) граждан на территории городского поселения</w:t>
      </w:r>
      <w:r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«Город Советская Гавань»</w:t>
      </w:r>
    </w:p>
    <w:p w:rsidR="00BF4A68" w:rsidRPr="00CB08E6" w:rsidRDefault="00BF4A68" w:rsidP="00B862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19"/>
          <w:szCs w:val="19"/>
          <w:lang w:eastAsia="ru-RU"/>
        </w:rPr>
      </w:pP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582"/>
        <w:gridCol w:w="54"/>
        <w:gridCol w:w="2052"/>
        <w:gridCol w:w="1831"/>
        <w:gridCol w:w="542"/>
        <w:gridCol w:w="248"/>
        <w:gridCol w:w="891"/>
        <w:gridCol w:w="1235"/>
        <w:gridCol w:w="1212"/>
        <w:gridCol w:w="859"/>
        <w:gridCol w:w="379"/>
      </w:tblGrid>
      <w:tr w:rsidR="00BF4A68" w:rsidRPr="00097063" w:rsidTr="00CB08E6"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A68" w:rsidRPr="00545B78" w:rsidRDefault="00BF4A68" w:rsidP="00545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A68" w:rsidRPr="00545B78" w:rsidRDefault="00BF4A68" w:rsidP="00545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4A68" w:rsidRPr="00545B78" w:rsidRDefault="00BF4A68" w:rsidP="00545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  <w:trHeight w:val="630"/>
        </w:trPr>
        <w:tc>
          <w:tcPr>
            <w:tcW w:w="587" w:type="dxa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120" w:type="dxa"/>
            <w:gridSpan w:val="2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зданий и помещений</w:t>
            </w:r>
          </w:p>
        </w:tc>
        <w:tc>
          <w:tcPr>
            <w:tcW w:w="1876" w:type="dxa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4988" w:type="dxa"/>
            <w:gridSpan w:val="6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Средства пожаротушения и противопожарного инвентаря</w:t>
            </w: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  <w:trHeight w:val="210"/>
        </w:trPr>
        <w:tc>
          <w:tcPr>
            <w:tcW w:w="587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0" w:type="dxa"/>
            <w:gridSpan w:val="2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</w:tc>
        <w:tc>
          <w:tcPr>
            <w:tcW w:w="1235" w:type="dxa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Ящик с песком емкостью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3"/>
              </w:smartTagPr>
              <w:r w:rsidRPr="00097063">
                <w:rPr>
                  <w:rFonts w:ascii="Times New Roman" w:hAnsi="Times New Roman"/>
                  <w:sz w:val="24"/>
                  <w:szCs w:val="24"/>
                </w:rPr>
                <w:t>0,5 м3</w:t>
              </w:r>
            </w:smartTag>
            <w:r w:rsidRPr="00097063">
              <w:rPr>
                <w:rFonts w:ascii="Times New Roman" w:hAnsi="Times New Roman"/>
                <w:sz w:val="24"/>
                <w:szCs w:val="24"/>
              </w:rPr>
              <w:t>,лопата</w:t>
            </w:r>
          </w:p>
        </w:tc>
        <w:tc>
          <w:tcPr>
            <w:tcW w:w="1212" w:type="dxa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Бочка с водой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 xml:space="preserve">емкостью </w:t>
            </w:r>
            <w:smartTag w:uri="urn:schemas-microsoft-com:office:smarttags" w:element="metricconverter">
              <w:smartTagPr>
                <w:attr w:name="ProductID" w:val="0,2 м3"/>
              </w:smartTagPr>
              <w:r w:rsidRPr="00097063">
                <w:rPr>
                  <w:rFonts w:ascii="Times New Roman" w:hAnsi="Times New Roman"/>
                  <w:sz w:val="24"/>
                  <w:szCs w:val="24"/>
                </w:rPr>
                <w:t>0,2 м3</w:t>
              </w:r>
            </w:smartTag>
            <w:r w:rsidRPr="00097063">
              <w:rPr>
                <w:rFonts w:ascii="Times New Roman" w:hAnsi="Times New Roman"/>
                <w:sz w:val="24"/>
                <w:szCs w:val="24"/>
              </w:rPr>
              <w:t>,ведро</w:t>
            </w:r>
          </w:p>
        </w:tc>
        <w:tc>
          <w:tcPr>
            <w:tcW w:w="859" w:type="dxa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Багор,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топор</w:t>
            </w: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  <w:trHeight w:val="97"/>
        </w:trPr>
        <w:tc>
          <w:tcPr>
            <w:tcW w:w="587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0" w:type="dxa"/>
            <w:gridSpan w:val="2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Кол-во шт</w:t>
            </w:r>
          </w:p>
        </w:tc>
        <w:tc>
          <w:tcPr>
            <w:tcW w:w="891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235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  <w:trHeight w:val="525"/>
        </w:trPr>
        <w:tc>
          <w:tcPr>
            <w:tcW w:w="587" w:type="dxa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gridSpan w:val="2"/>
            <w:vMerge w:val="restart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Жилые дома</w:t>
            </w:r>
          </w:p>
        </w:tc>
        <w:tc>
          <w:tcPr>
            <w:tcW w:w="1876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До 100кв.м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ПО-2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УО-2</w:t>
            </w:r>
          </w:p>
        </w:tc>
        <w:tc>
          <w:tcPr>
            <w:tcW w:w="1235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  <w:trHeight w:val="570"/>
        </w:trPr>
        <w:tc>
          <w:tcPr>
            <w:tcW w:w="587" w:type="dxa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6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Свыше 100м3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ПО-2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УО-2</w:t>
            </w:r>
          </w:p>
        </w:tc>
        <w:tc>
          <w:tcPr>
            <w:tcW w:w="1235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</w:trPr>
        <w:tc>
          <w:tcPr>
            <w:tcW w:w="587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876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791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ПО-2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УО-2</w:t>
            </w:r>
          </w:p>
        </w:tc>
        <w:tc>
          <w:tcPr>
            <w:tcW w:w="1235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</w:trPr>
        <w:tc>
          <w:tcPr>
            <w:tcW w:w="587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Индивидуальные гаражи</w:t>
            </w:r>
          </w:p>
        </w:tc>
        <w:tc>
          <w:tcPr>
            <w:tcW w:w="1876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791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ПО-2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УО-2</w:t>
            </w:r>
          </w:p>
        </w:tc>
        <w:tc>
          <w:tcPr>
            <w:tcW w:w="1235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</w:trPr>
        <w:tc>
          <w:tcPr>
            <w:tcW w:w="587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Дачи и иные жилые здание, здание сезонного проживания людей</w:t>
            </w:r>
          </w:p>
        </w:tc>
        <w:tc>
          <w:tcPr>
            <w:tcW w:w="1876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791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91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ПО-2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УО-2</w:t>
            </w:r>
          </w:p>
        </w:tc>
        <w:tc>
          <w:tcPr>
            <w:tcW w:w="1235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59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A68" w:rsidRPr="00097063" w:rsidTr="0009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2" w:type="dxa"/>
        </w:trPr>
        <w:tc>
          <w:tcPr>
            <w:tcW w:w="587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0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Сараи, бани, хозяйственные постройки, гаражные кооперативы и товарищества</w:t>
            </w:r>
          </w:p>
        </w:tc>
        <w:tc>
          <w:tcPr>
            <w:tcW w:w="1876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Группа построек</w:t>
            </w:r>
          </w:p>
        </w:tc>
        <w:tc>
          <w:tcPr>
            <w:tcW w:w="791" w:type="dxa"/>
            <w:gridSpan w:val="2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91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ПО-2</w:t>
            </w:r>
          </w:p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УО-2</w:t>
            </w:r>
          </w:p>
        </w:tc>
        <w:tc>
          <w:tcPr>
            <w:tcW w:w="1235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12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1*</w:t>
            </w:r>
          </w:p>
        </w:tc>
        <w:tc>
          <w:tcPr>
            <w:tcW w:w="859" w:type="dxa"/>
          </w:tcPr>
          <w:p w:rsidR="00BF4A68" w:rsidRPr="00097063" w:rsidRDefault="00BF4A68" w:rsidP="00097063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7063">
              <w:rPr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BF4A68" w:rsidRDefault="00BF4A68">
      <w:pPr>
        <w:rPr>
          <w:rFonts w:ascii="Times New Roman" w:hAnsi="Times New Roman"/>
          <w:sz w:val="24"/>
          <w:szCs w:val="24"/>
        </w:rPr>
      </w:pPr>
    </w:p>
    <w:p w:rsidR="00BF4A68" w:rsidRDefault="00BF4A68" w:rsidP="00B673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1* - в летний период года</w:t>
      </w:r>
    </w:p>
    <w:p w:rsidR="00BF4A68" w:rsidRDefault="00BF4A68" w:rsidP="00B673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– порошковый огнетушитель</w:t>
      </w:r>
    </w:p>
    <w:p w:rsidR="00BF4A68" w:rsidRDefault="00BF4A68" w:rsidP="00B673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 – углекислотный огнетушитель</w:t>
      </w:r>
    </w:p>
    <w:p w:rsidR="00BF4A68" w:rsidRDefault="00BF4A68" w:rsidP="00B67380">
      <w:pPr>
        <w:spacing w:after="0"/>
        <w:rPr>
          <w:rFonts w:ascii="Times New Roman" w:hAnsi="Times New Roman"/>
          <w:sz w:val="28"/>
          <w:szCs w:val="28"/>
        </w:rPr>
      </w:pPr>
    </w:p>
    <w:p w:rsidR="00BF4A68" w:rsidRDefault="00BF4A68" w:rsidP="00B67380">
      <w:pPr>
        <w:spacing w:after="0"/>
        <w:rPr>
          <w:rFonts w:ascii="Times New Roman" w:hAnsi="Times New Roman"/>
          <w:sz w:val="28"/>
          <w:szCs w:val="28"/>
        </w:rPr>
      </w:pPr>
    </w:p>
    <w:p w:rsidR="00BF4A68" w:rsidRPr="0060279B" w:rsidRDefault="00BF4A68" w:rsidP="00602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B">
        <w:rPr>
          <w:rFonts w:ascii="Times New Roman" w:hAnsi="Times New Roman"/>
          <w:sz w:val="28"/>
          <w:szCs w:val="28"/>
          <w:lang w:eastAsia="ru-RU"/>
        </w:rPr>
        <w:t>Примечания:</w:t>
      </w:r>
    </w:p>
    <w:p w:rsidR="00BF4A68" w:rsidRPr="0060279B" w:rsidRDefault="00BF4A68" w:rsidP="00602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A68" w:rsidRPr="0060279B" w:rsidRDefault="00BF4A68" w:rsidP="00602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B">
        <w:rPr>
          <w:rFonts w:ascii="Times New Roman" w:hAnsi="Times New Roman"/>
          <w:sz w:val="28"/>
          <w:szCs w:val="28"/>
          <w:lang w:eastAsia="ru-RU"/>
        </w:rPr>
        <w:t xml:space="preserve">      1.Огнетушители должны всегда содержаться в исправном состоянии,                             периодически осматриваться и своевременно перезаряжаться.</w:t>
      </w:r>
    </w:p>
    <w:p w:rsidR="00BF4A68" w:rsidRPr="0060279B" w:rsidRDefault="00BF4A68" w:rsidP="00602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B">
        <w:rPr>
          <w:rFonts w:ascii="Times New Roman" w:hAnsi="Times New Roman"/>
          <w:sz w:val="28"/>
          <w:szCs w:val="28"/>
          <w:lang w:eastAsia="ru-RU"/>
        </w:rPr>
        <w:t xml:space="preserve">      2. В зимнее время (при температуре ниже 1 градуса С) огнетушители необходимо хранить в отапливаемых помещениях.</w:t>
      </w:r>
    </w:p>
    <w:p w:rsidR="00BF4A68" w:rsidRPr="0060279B" w:rsidRDefault="00BF4A68" w:rsidP="00602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B">
        <w:rPr>
          <w:rFonts w:ascii="Times New Roman" w:hAnsi="Times New Roman"/>
          <w:sz w:val="28"/>
          <w:szCs w:val="28"/>
          <w:lang w:eastAsia="ru-RU"/>
        </w:rPr>
        <w:t xml:space="preserve">       3. Размещение первичных средств пожаротушения в коридорах, проходах не должно сокращать их ширину и препятствовать безопасной эвакуации людей.</w:t>
      </w:r>
    </w:p>
    <w:p w:rsidR="00BF4A68" w:rsidRDefault="00BF4A68" w:rsidP="0060279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79B">
        <w:rPr>
          <w:rFonts w:ascii="Times New Roman" w:hAnsi="Times New Roman"/>
          <w:sz w:val="28"/>
          <w:szCs w:val="28"/>
          <w:lang w:eastAsia="ru-RU"/>
        </w:rPr>
        <w:t xml:space="preserve">       4. </w:t>
      </w:r>
      <w:r w:rsidRPr="0060279B">
        <w:rPr>
          <w:rFonts w:ascii="Times New Roman" w:hAnsi="Times New Roman"/>
          <w:color w:val="000000"/>
          <w:sz w:val="28"/>
          <w:szCs w:val="28"/>
          <w:lang w:eastAsia="ru-RU"/>
        </w:rPr>
        <w:t>Для своевременног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обнаружения пожара в помещении</w:t>
      </w:r>
      <w:r w:rsidRPr="006027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индивидуальных жилых домах, быстрой эвакуации людей рекомендуется установка в жилых помещениях и строениях автономных дымовых пожарных извещателей.</w:t>
      </w:r>
    </w:p>
    <w:p w:rsidR="00BF4A68" w:rsidRDefault="00BF4A68" w:rsidP="0060279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A68" w:rsidRDefault="00BF4A68" w:rsidP="0060279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A68" w:rsidRDefault="00BF4A68" w:rsidP="0060279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И.о. начальника отдела</w:t>
      </w:r>
    </w:p>
    <w:p w:rsidR="00BF4A68" w:rsidRPr="0060279B" w:rsidRDefault="00BF4A68" w:rsidP="0060279B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хозяйства                                                                  Е.Н. Савченко</w:t>
      </w: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Pr="004E587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Pr="004E587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D17D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Default="00BF4A68" w:rsidP="00AF762E">
      <w:pPr>
        <w:shd w:val="clear" w:color="auto" w:fill="FFFFFF"/>
        <w:tabs>
          <w:tab w:val="left" w:pos="6855"/>
          <w:tab w:val="right" w:pos="9355"/>
        </w:tabs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F4A68" w:rsidRDefault="00BF4A68" w:rsidP="00A74453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BF4A68" w:rsidRPr="00835E30" w:rsidRDefault="00BF4A68" w:rsidP="00A74453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Приложение №2</w:t>
      </w:r>
      <w:r w:rsidRPr="00835E30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BF4A68" w:rsidRDefault="00BF4A68" w:rsidP="00A74453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Утверждено                                                                </w:t>
      </w:r>
    </w:p>
    <w:p w:rsidR="00BF4A68" w:rsidRDefault="00BF4A68" w:rsidP="00EB4E77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Постановлением</w:t>
      </w:r>
      <w:r w:rsidRPr="00EB4E77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Администрации</w:t>
      </w:r>
    </w:p>
    <w:p w:rsidR="00BF4A68" w:rsidRDefault="00BF4A68" w:rsidP="00EB4E77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городского поселения «Город </w:t>
      </w:r>
    </w:p>
    <w:p w:rsidR="00BF4A68" w:rsidRDefault="00BF4A68" w:rsidP="00EB4E77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Советская Гавань»</w:t>
      </w:r>
    </w:p>
    <w:p w:rsidR="00BF4A68" w:rsidRPr="00835E30" w:rsidRDefault="00BF4A68" w:rsidP="00A74453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№ 269 от  17.03.2020</w:t>
      </w:r>
    </w:p>
    <w:p w:rsidR="00BF4A68" w:rsidRPr="00835E30" w:rsidRDefault="00BF4A68" w:rsidP="0052205D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BF4A68" w:rsidRDefault="00BF4A68" w:rsidP="00A74453">
      <w:pPr>
        <w:shd w:val="clear" w:color="auto" w:fill="FFFFFF"/>
        <w:tabs>
          <w:tab w:val="left" w:pos="6855"/>
          <w:tab w:val="right" w:pos="9355"/>
        </w:tabs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4A68" w:rsidRPr="00423317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331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423317">
        <w:rPr>
          <w:rFonts w:ascii="Times New Roman" w:hAnsi="Times New Roman"/>
          <w:sz w:val="28"/>
          <w:szCs w:val="28"/>
          <w:lang w:eastAsia="ru-RU"/>
        </w:rPr>
        <w:t>Порядок содержания территории, зданий, сооружений</w:t>
      </w:r>
    </w:p>
    <w:p w:rsidR="00BF4A68" w:rsidRPr="00423317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3317">
        <w:rPr>
          <w:rFonts w:ascii="Times New Roman" w:hAnsi="Times New Roman"/>
          <w:sz w:val="28"/>
          <w:szCs w:val="28"/>
          <w:lang w:eastAsia="ru-RU"/>
        </w:rPr>
        <w:t>и 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Pr="00423317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«Город Советская Гавань»</w:t>
      </w:r>
      <w:r w:rsidRPr="00423317">
        <w:rPr>
          <w:rFonts w:ascii="Times New Roman" w:hAnsi="Times New Roman"/>
          <w:sz w:val="28"/>
          <w:szCs w:val="28"/>
          <w:lang w:eastAsia="ru-RU"/>
        </w:rPr>
        <w:t>.</w:t>
      </w:r>
    </w:p>
    <w:p w:rsidR="00BF4A68" w:rsidRPr="00A83FDD" w:rsidRDefault="00BF4A68" w:rsidP="00A8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83FDD">
        <w:rPr>
          <w:rFonts w:ascii="Times New Roman" w:hAnsi="Times New Roman"/>
          <w:sz w:val="28"/>
          <w:szCs w:val="28"/>
          <w:lang w:eastAsia="ru-RU"/>
        </w:rPr>
        <w:t>. Территория, приле</w:t>
      </w:r>
      <w:r>
        <w:rPr>
          <w:rFonts w:ascii="Times New Roman" w:hAnsi="Times New Roman"/>
          <w:sz w:val="28"/>
          <w:szCs w:val="28"/>
          <w:lang w:eastAsia="ru-RU"/>
        </w:rPr>
        <w:t xml:space="preserve">гающая к зданиям и помещениям </w:t>
      </w:r>
      <w:r w:rsidRPr="00A83FDD">
        <w:rPr>
          <w:rFonts w:ascii="Times New Roman" w:hAnsi="Times New Roman"/>
          <w:sz w:val="28"/>
          <w:szCs w:val="28"/>
          <w:lang w:eastAsia="ru-RU"/>
        </w:rPr>
        <w:t>должна своевременно очищаться от горючих отходов, мусора, тары. Следует обеспечивать своевременный сбор мусора в контейнеры, установленные в специально отведенных местах, и вывоз мусора по мере их заполнения.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83FDD">
        <w:rPr>
          <w:rFonts w:ascii="Times New Roman" w:hAnsi="Times New Roman"/>
          <w:sz w:val="28"/>
          <w:szCs w:val="28"/>
          <w:lang w:eastAsia="ru-RU"/>
        </w:rPr>
        <w:t>. Проезды и подъезды к зданиям и сооружениям, наружным пожарным лестницам, пожарным гидрантам и местам подключения пожарной техники к противопожарному водопроводу должны содержаться в исправном состоянии в любое время года. Разворотные и специальные площадки, предназначенные для установки пожарно-спасательной техники, запрещается использовать для стоянки автомобилей и иных транспортных средств.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3FDD">
        <w:rPr>
          <w:rFonts w:ascii="Times New Roman" w:hAnsi="Times New Roman"/>
          <w:sz w:val="28"/>
          <w:szCs w:val="28"/>
          <w:lang w:eastAsia="ru-RU"/>
        </w:rPr>
        <w:t>. В складских, административных и общественных помещениях, местах открытого хранения веществ и материалов, а также размещения технологических установок должны быть размещены на видном месте таблички с указанием номеров телефонов для сообщения о пожаре.</w:t>
      </w:r>
    </w:p>
    <w:p w:rsidR="00BF4A68" w:rsidRPr="00A83FDD" w:rsidRDefault="00BF4A68" w:rsidP="00A8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83FDD">
        <w:rPr>
          <w:rFonts w:ascii="Times New Roman" w:hAnsi="Times New Roman"/>
          <w:sz w:val="28"/>
          <w:szCs w:val="28"/>
          <w:lang w:eastAsia="ru-RU"/>
        </w:rPr>
        <w:t xml:space="preserve">. Дороги к зданиям и проезды необходимо всегда содержать свободными. Парковка машин в проездах и противопожарных разрывах между зданиями и отдельно стоящими помещениями, а также ближе </w:t>
      </w:r>
      <w:smartTag w:uri="urn:schemas-microsoft-com:office:smarttags" w:element="metricconverter">
        <w:smartTagPr>
          <w:attr w:name="ProductID" w:val="3 метров"/>
        </w:smartTagPr>
        <w:r w:rsidRPr="00A83FDD">
          <w:rPr>
            <w:rFonts w:ascii="Times New Roman" w:hAnsi="Times New Roman"/>
            <w:sz w:val="28"/>
            <w:szCs w:val="28"/>
            <w:lang w:eastAsia="ru-RU"/>
          </w:rPr>
          <w:t>3 метров</w:t>
        </w:r>
      </w:smartTag>
      <w:r w:rsidRPr="00A83FDD">
        <w:rPr>
          <w:rFonts w:ascii="Times New Roman" w:hAnsi="Times New Roman"/>
          <w:sz w:val="28"/>
          <w:szCs w:val="28"/>
          <w:lang w:eastAsia="ru-RU"/>
        </w:rPr>
        <w:t xml:space="preserve"> от наружных стен здания категорически запрещается.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83FDD">
        <w:rPr>
          <w:rFonts w:ascii="Times New Roman" w:hAnsi="Times New Roman"/>
          <w:sz w:val="28"/>
          <w:szCs w:val="28"/>
          <w:lang w:eastAsia="ru-RU"/>
        </w:rPr>
        <w:t>. Наружные пожарные лестницы зданий должны содержаться в исправном состоянии и не реже одного раза в пять лет подвергаться эксплуатационным испытаниям.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83FDD">
        <w:rPr>
          <w:rFonts w:ascii="Times New Roman" w:hAnsi="Times New Roman"/>
          <w:sz w:val="28"/>
          <w:szCs w:val="28"/>
          <w:lang w:eastAsia="ru-RU"/>
        </w:rPr>
        <w:t xml:space="preserve">. Приямки у оконных проемов подвальных и цокольных этажей зданий </w:t>
      </w:r>
      <w:r>
        <w:rPr>
          <w:rFonts w:ascii="Times New Roman" w:hAnsi="Times New Roman"/>
          <w:sz w:val="28"/>
          <w:szCs w:val="28"/>
          <w:lang w:eastAsia="ru-RU"/>
        </w:rPr>
        <w:t>(сооружений)</w:t>
      </w:r>
      <w:r w:rsidRPr="00A83FDD">
        <w:rPr>
          <w:rFonts w:ascii="Times New Roman" w:hAnsi="Times New Roman"/>
          <w:sz w:val="28"/>
          <w:szCs w:val="28"/>
          <w:lang w:eastAsia="ru-RU"/>
        </w:rPr>
        <w:t xml:space="preserve"> должны быть очищены от мусора и посторонних предметов.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83FDD">
        <w:rPr>
          <w:rFonts w:ascii="Times New Roman" w:hAnsi="Times New Roman"/>
          <w:sz w:val="28"/>
          <w:szCs w:val="28"/>
          <w:lang w:eastAsia="ru-RU"/>
        </w:rPr>
        <w:t>.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83FDD">
        <w:rPr>
          <w:rFonts w:ascii="Times New Roman" w:hAnsi="Times New Roman"/>
          <w:sz w:val="28"/>
          <w:szCs w:val="28"/>
          <w:lang w:eastAsia="ru-RU"/>
        </w:rPr>
        <w:t>. Двери на путях эвакуации должны открываться наружу по направлению выхода из здания, за исключением дверей, направление открывания которых не регламентируется требованиями нормативных документов по пожарной безопасности или к которым предъявляются особые требования.</w:t>
      </w:r>
    </w:p>
    <w:p w:rsidR="00BF4A68" w:rsidRPr="00A83FDD" w:rsidRDefault="00BF4A68" w:rsidP="00A8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83FDD">
        <w:rPr>
          <w:rFonts w:ascii="Times New Roman" w:hAnsi="Times New Roman"/>
          <w:sz w:val="28"/>
          <w:szCs w:val="28"/>
          <w:lang w:eastAsia="ru-RU"/>
        </w:rPr>
        <w:t>. Двери зап</w:t>
      </w:r>
      <w:r>
        <w:rPr>
          <w:rFonts w:ascii="Times New Roman" w:hAnsi="Times New Roman"/>
          <w:sz w:val="28"/>
          <w:szCs w:val="28"/>
          <w:lang w:eastAsia="ru-RU"/>
        </w:rPr>
        <w:t>асных выходов должны открываться</w:t>
      </w:r>
      <w:r w:rsidRPr="00A83FDD">
        <w:rPr>
          <w:rFonts w:ascii="Times New Roman" w:hAnsi="Times New Roman"/>
          <w:sz w:val="28"/>
          <w:szCs w:val="28"/>
          <w:lang w:eastAsia="ru-RU"/>
        </w:rPr>
        <w:t xml:space="preserve"> свободно, в рабочее время иметь свободный доступ, но опечатываться. Запоры на дверях эвакуационных выходов должны обеспечивать, возможность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их свободного открывания </w:t>
      </w:r>
      <w:r w:rsidRPr="00A83FDD">
        <w:rPr>
          <w:rFonts w:ascii="Times New Roman" w:hAnsi="Times New Roman"/>
          <w:sz w:val="28"/>
          <w:szCs w:val="28"/>
          <w:lang w:eastAsia="ru-RU"/>
        </w:rPr>
        <w:t>изнутри без ключа</w:t>
      </w:r>
      <w:r>
        <w:rPr>
          <w:rFonts w:ascii="Times New Roman" w:hAnsi="Times New Roman"/>
          <w:sz w:val="28"/>
          <w:szCs w:val="28"/>
          <w:lang w:eastAsia="ru-RU"/>
        </w:rPr>
        <w:t>, за исключением случаев, устанавливаемых законодательством Российской Федерации</w:t>
      </w:r>
      <w:r w:rsidRPr="00A83FDD">
        <w:rPr>
          <w:rFonts w:ascii="Times New Roman" w:hAnsi="Times New Roman"/>
          <w:sz w:val="28"/>
          <w:szCs w:val="28"/>
          <w:lang w:eastAsia="ru-RU"/>
        </w:rPr>
        <w:t xml:space="preserve">. На время отсутствия сотрудников в зданиях и помещениях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FDD">
        <w:rPr>
          <w:rFonts w:ascii="Times New Roman" w:hAnsi="Times New Roman"/>
          <w:sz w:val="28"/>
          <w:szCs w:val="28"/>
          <w:lang w:eastAsia="ru-RU"/>
        </w:rPr>
        <w:t>-  закрываться на замок.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зданиях и помещениях </w:t>
      </w:r>
      <w:r w:rsidRPr="00A83FDD">
        <w:rPr>
          <w:rFonts w:ascii="Times New Roman" w:hAnsi="Times New Roman"/>
          <w:sz w:val="28"/>
          <w:szCs w:val="28"/>
          <w:lang w:eastAsia="ru-RU"/>
        </w:rPr>
        <w:t>и на прилегающих к ним территориях запрещается:</w:t>
      </w:r>
    </w:p>
    <w:p w:rsidR="00BF4A68" w:rsidRPr="00A83FDD" w:rsidRDefault="00BF4A68" w:rsidP="00A8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курить и пользоваться открытым огнем;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хранить и применять на чердаках, в подвалах и цокольных этажах легковоспламеняющиеся и горючие жидкости, взрывчатые вещества, баллоны с горючими газами, целлулоид и другие взрывопожароопасные вещества и материалы;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оборудования, мебели и других предметов;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устраивать склады горючих материалов, размещать иные хозяйственные помещения в подвалах и цокольных этажах, если вход в них не изолирован противопожарными преградами от общих лестничных клеток;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а также другие двери, препятствующие распространению опасных факторов пожара на путях эвакуации;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огнетушителям;  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загромождать мебелью, оборудованием и другими предметами выходы на наружные эвакуационные лестницы;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устраивать на лестничных клетках и в поэтажных коридорах кладовые и другие подсобные помещения, а также хранить под лестничными маршами и на лестничных площадках вещи, мебель и горючие материалы;</w:t>
      </w:r>
    </w:p>
    <w:p w:rsidR="00BF4A68" w:rsidRPr="007D3FC8" w:rsidRDefault="00BF4A68" w:rsidP="007D3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3FC8">
        <w:rPr>
          <w:rFonts w:ascii="Times New Roman" w:hAnsi="Times New Roman"/>
          <w:sz w:val="28"/>
          <w:szCs w:val="28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загромождать эвакуационные пути и выходы (в том числе проходы, коридоры, тамбуры,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</w:t>
      </w:r>
      <w:r>
        <w:rPr>
          <w:rFonts w:ascii="Times New Roman" w:hAnsi="Times New Roman"/>
          <w:sz w:val="28"/>
          <w:szCs w:val="28"/>
          <w:lang w:eastAsia="ru-RU"/>
        </w:rPr>
        <w:t>, а также блокировать двери эвакуационных выходов;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применять горючие материалы для облицовки и окраски стен и потолков, а также ступеней и лестничных площадок на путях эвакуации;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использовать в работе электропровода и кабели с видимыми нарушениями изоляции;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пользоваться розетками</w:t>
      </w:r>
      <w:r>
        <w:rPr>
          <w:rFonts w:ascii="Times New Roman" w:hAnsi="Times New Roman"/>
          <w:sz w:val="28"/>
          <w:szCs w:val="28"/>
          <w:lang w:eastAsia="ru-RU"/>
        </w:rPr>
        <w:t>, рубильниками и другими электроприборами</w:t>
      </w:r>
      <w:r w:rsidRPr="00A83FDD">
        <w:rPr>
          <w:rFonts w:ascii="Times New Roman" w:hAnsi="Times New Roman"/>
          <w:sz w:val="28"/>
          <w:szCs w:val="28"/>
          <w:lang w:eastAsia="ru-RU"/>
        </w:rPr>
        <w:t xml:space="preserve"> с повреждениями;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эксплуатировать светильники со снятыми колпаками (рассеивателями), предусмотренными конструкцией светильника;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пользоваться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применять нестандартные (самодельные) электронагревательные приборы;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размещать (складировать) в электро</w:t>
      </w:r>
      <w:r>
        <w:rPr>
          <w:rFonts w:ascii="Times New Roman" w:hAnsi="Times New Roman"/>
          <w:sz w:val="28"/>
          <w:szCs w:val="28"/>
          <w:lang w:eastAsia="ru-RU"/>
        </w:rPr>
        <w:t>щит</w:t>
      </w:r>
      <w:r w:rsidRPr="00A83FDD">
        <w:rPr>
          <w:rFonts w:ascii="Times New Roman" w:hAnsi="Times New Roman"/>
          <w:sz w:val="28"/>
          <w:szCs w:val="28"/>
          <w:lang w:eastAsia="ru-RU"/>
        </w:rPr>
        <w:t>овых (около электрощитов), около электродвигателей и пусковой аппаратуры горючие (в том числе легковоспламеняющиеся) вещества и материалы;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A83FDD">
        <w:rPr>
          <w:rFonts w:ascii="Times New Roman" w:hAnsi="Times New Roman"/>
          <w:sz w:val="28"/>
          <w:szCs w:val="28"/>
          <w:lang w:eastAsia="ru-RU"/>
        </w:rPr>
        <w:t>. Перед проведением мероприятий, связанных с массовым пребыванием людей, следует обеспечивать осмотр помещений в целях определения их готовности в части эксплуатации инженерных систем: электрооборудования, систем вентиляции и отопления, соблюдения мер пожарной безопасности, а также дежурство ответственных лиц в зале.</w:t>
      </w: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A83FDD">
        <w:rPr>
          <w:rFonts w:ascii="Times New Roman" w:hAnsi="Times New Roman"/>
          <w:sz w:val="28"/>
          <w:szCs w:val="28"/>
          <w:lang w:eastAsia="ru-RU"/>
        </w:rPr>
        <w:t>. При проведении мероприятий с массовым пребыванием людей в помещениях запрещается:</w:t>
      </w:r>
    </w:p>
    <w:p w:rsidR="00BF4A68" w:rsidRPr="001F4749" w:rsidRDefault="00BF4A68" w:rsidP="001F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применять пиротехнические изделия,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дуговые прожекторы со степенью защиты менее IP54 и свечи (кроме культовых сооружений);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проводить перед началом или во время их проведения огневые, покрасочные и другие пожароопасные и пожаровзрывоопасные работы;</w:t>
      </w: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уменьшать ширину проходов между рядами и устанавливать в проходах дополнительные кресла, стулья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Pr="00A83FDD">
        <w:rPr>
          <w:rFonts w:ascii="Times New Roman" w:hAnsi="Times New Roman"/>
          <w:sz w:val="28"/>
          <w:szCs w:val="28"/>
          <w:lang w:eastAsia="ru-RU"/>
        </w:rPr>
        <w:t>.</w:t>
      </w:r>
    </w:p>
    <w:p w:rsidR="00BF4A68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полностью гасить свет в помещении во время спектаклей или представлений;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допускать нарушения установленных норм заполнения помещения людьми.</w:t>
      </w:r>
    </w:p>
    <w:p w:rsidR="00BF4A68" w:rsidRPr="00A83FDD" w:rsidRDefault="00BF4A68" w:rsidP="00A8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A83FDD">
        <w:rPr>
          <w:rFonts w:ascii="Times New Roman" w:hAnsi="Times New Roman"/>
          <w:sz w:val="28"/>
          <w:szCs w:val="28"/>
          <w:lang w:eastAsia="ru-RU"/>
        </w:rPr>
        <w:t>. Все окна и двери в помещениях по окончании рабочего дня должны быть плотно закрыты.</w:t>
      </w:r>
    </w:p>
    <w:p w:rsidR="00BF4A68" w:rsidRPr="00A83FDD" w:rsidRDefault="00BF4A68" w:rsidP="00A8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A83FDD">
        <w:rPr>
          <w:rFonts w:ascii="Times New Roman" w:hAnsi="Times New Roman"/>
          <w:sz w:val="28"/>
          <w:szCs w:val="28"/>
          <w:lang w:eastAsia="ru-RU"/>
        </w:rPr>
        <w:t>. Знаки пожарной безопасности, в том числе обозначающие пути эвакуации и эвакуационные выходы, должны содержаться в исправном состоянии.</w:t>
      </w:r>
    </w:p>
    <w:p w:rsidR="00BF4A68" w:rsidRPr="00A83FDD" w:rsidRDefault="00BF4A68" w:rsidP="00A83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FDD">
        <w:rPr>
          <w:rFonts w:ascii="Times New Roman" w:hAnsi="Times New Roman"/>
          <w:sz w:val="28"/>
          <w:szCs w:val="28"/>
          <w:lang w:eastAsia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BF4A68" w:rsidRDefault="00BF4A68" w:rsidP="00D1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A83FDD">
        <w:rPr>
          <w:rFonts w:ascii="Times New Roman" w:hAnsi="Times New Roman"/>
          <w:sz w:val="28"/>
          <w:szCs w:val="28"/>
          <w:lang w:eastAsia="ru-RU"/>
        </w:rPr>
        <w:t>. В коридорах каждого этажа на доступных местах  должны быть вывешены: планы эвакуации и стрелки-указатели запасных выходов для эвакуации людей в случае пожара.</w:t>
      </w:r>
    </w:p>
    <w:p w:rsidR="00BF4A68" w:rsidRDefault="00BF4A68" w:rsidP="00D1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A68" w:rsidRDefault="00BF4A68" w:rsidP="00D1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A68" w:rsidRDefault="00BF4A68" w:rsidP="00D17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начальника отдела</w:t>
      </w:r>
    </w:p>
    <w:p w:rsidR="00BF4A68" w:rsidRPr="00D17D84" w:rsidRDefault="00BF4A68" w:rsidP="00D17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хозяйства                                                                    Е.Н. Савченко</w:t>
      </w:r>
    </w:p>
    <w:sectPr w:rsidR="00BF4A68" w:rsidRPr="00D17D84" w:rsidSect="0055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9A"/>
    <w:multiLevelType w:val="hybridMultilevel"/>
    <w:tmpl w:val="4E98A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B78"/>
    <w:rsid w:val="00092E24"/>
    <w:rsid w:val="00097063"/>
    <w:rsid w:val="000A0AAD"/>
    <w:rsid w:val="000C3905"/>
    <w:rsid w:val="0018423B"/>
    <w:rsid w:val="001F4749"/>
    <w:rsid w:val="0026752C"/>
    <w:rsid w:val="00270B2D"/>
    <w:rsid w:val="002C79F1"/>
    <w:rsid w:val="002E03B8"/>
    <w:rsid w:val="00332AAA"/>
    <w:rsid w:val="003506C4"/>
    <w:rsid w:val="00385F7B"/>
    <w:rsid w:val="00400203"/>
    <w:rsid w:val="00423317"/>
    <w:rsid w:val="00495644"/>
    <w:rsid w:val="004E587D"/>
    <w:rsid w:val="0052205D"/>
    <w:rsid w:val="00545B78"/>
    <w:rsid w:val="005543F5"/>
    <w:rsid w:val="0060279B"/>
    <w:rsid w:val="00612748"/>
    <w:rsid w:val="006700CF"/>
    <w:rsid w:val="006E5DF8"/>
    <w:rsid w:val="006F1213"/>
    <w:rsid w:val="007B4459"/>
    <w:rsid w:val="007D3FC8"/>
    <w:rsid w:val="00835E30"/>
    <w:rsid w:val="00873FDA"/>
    <w:rsid w:val="00876D5B"/>
    <w:rsid w:val="00880355"/>
    <w:rsid w:val="008B1EAE"/>
    <w:rsid w:val="00932577"/>
    <w:rsid w:val="009661F5"/>
    <w:rsid w:val="00990AB5"/>
    <w:rsid w:val="00994B51"/>
    <w:rsid w:val="009A2197"/>
    <w:rsid w:val="00A5017E"/>
    <w:rsid w:val="00A54252"/>
    <w:rsid w:val="00A62056"/>
    <w:rsid w:val="00A72089"/>
    <w:rsid w:val="00A74453"/>
    <w:rsid w:val="00A83FDD"/>
    <w:rsid w:val="00AB5D6C"/>
    <w:rsid w:val="00AF762E"/>
    <w:rsid w:val="00B12002"/>
    <w:rsid w:val="00B3116D"/>
    <w:rsid w:val="00B67380"/>
    <w:rsid w:val="00B8622F"/>
    <w:rsid w:val="00B94883"/>
    <w:rsid w:val="00BC3BBC"/>
    <w:rsid w:val="00BE6706"/>
    <w:rsid w:val="00BF4A68"/>
    <w:rsid w:val="00C33649"/>
    <w:rsid w:val="00C83F4F"/>
    <w:rsid w:val="00CB08E6"/>
    <w:rsid w:val="00D02154"/>
    <w:rsid w:val="00D1675A"/>
    <w:rsid w:val="00D17D84"/>
    <w:rsid w:val="00D37AA2"/>
    <w:rsid w:val="00D43A78"/>
    <w:rsid w:val="00DA4457"/>
    <w:rsid w:val="00E6772B"/>
    <w:rsid w:val="00EB4E77"/>
    <w:rsid w:val="00ED077D"/>
    <w:rsid w:val="00EF1F5A"/>
    <w:rsid w:val="00F352E7"/>
    <w:rsid w:val="00F5760A"/>
    <w:rsid w:val="00FB14D9"/>
    <w:rsid w:val="00FB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DF8"/>
    <w:pPr>
      <w:ind w:left="720"/>
      <w:contextualSpacing/>
    </w:pPr>
  </w:style>
  <w:style w:type="table" w:styleId="TableGrid">
    <w:name w:val="Table Grid"/>
    <w:basedOn w:val="TableNormal"/>
    <w:uiPriority w:val="99"/>
    <w:rsid w:val="00CB08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7</Pages>
  <Words>2058</Words>
  <Characters>11737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Варя</cp:lastModifiedBy>
  <cp:revision>39</cp:revision>
  <cp:lastPrinted>2020-03-18T04:42:00Z</cp:lastPrinted>
  <dcterms:created xsi:type="dcterms:W3CDTF">2016-02-04T00:25:00Z</dcterms:created>
  <dcterms:modified xsi:type="dcterms:W3CDTF">2020-03-24T03:28:00Z</dcterms:modified>
</cp:coreProperties>
</file>